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AEB07">
      <w:pPr>
        <w:spacing w:before="143" w:line="219" w:lineRule="auto"/>
        <w:jc w:val="center"/>
        <w:rPr>
          <w:rFonts w:ascii="宋体" w:hAnsi="宋体" w:eastAsia="宋体" w:cs="宋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pacing w:val="3"/>
          <w:sz w:val="32"/>
          <w:szCs w:val="32"/>
          <w:lang w:val="en-US" w:eastAsia="zh-CN"/>
        </w:rPr>
        <w:t>北京工商大学</w:t>
      </w:r>
      <w:r>
        <w:rPr>
          <w:rFonts w:ascii="宋体" w:hAnsi="宋体" w:eastAsia="宋体" w:cs="宋体"/>
          <w:b/>
          <w:bCs/>
          <w:color w:val="auto"/>
          <w:spacing w:val="3"/>
          <w:sz w:val="32"/>
          <w:szCs w:val="32"/>
        </w:rPr>
        <w:t>消防安全“百日攻坚”</w:t>
      </w:r>
    </w:p>
    <w:p w14:paraId="040912D8">
      <w:pPr>
        <w:jc w:val="center"/>
        <w:rPr>
          <w:rFonts w:ascii="宋体" w:hAnsi="宋体" w:eastAsia="宋体" w:cs="宋体"/>
          <w:b/>
          <w:bCs/>
          <w:color w:val="auto"/>
          <w:spacing w:val="-7"/>
          <w:sz w:val="32"/>
          <w:szCs w:val="32"/>
        </w:rPr>
      </w:pPr>
      <w:r>
        <w:rPr>
          <w:rFonts w:ascii="宋体" w:hAnsi="宋体" w:eastAsia="宋体" w:cs="宋体"/>
          <w:b/>
          <w:bCs/>
          <w:color w:val="auto"/>
          <w:spacing w:val="-7"/>
          <w:sz w:val="32"/>
          <w:szCs w:val="32"/>
        </w:rPr>
        <w:t>夏季行动实施工作方案</w:t>
      </w:r>
    </w:p>
    <w:p w14:paraId="30292E0E">
      <w:pPr>
        <w:rPr>
          <w:rFonts w:ascii="宋体" w:hAnsi="宋体" w:eastAsia="宋体" w:cs="宋体"/>
          <w:b/>
          <w:bCs/>
          <w:color w:val="auto"/>
          <w:spacing w:val="-7"/>
          <w:sz w:val="44"/>
          <w:szCs w:val="44"/>
        </w:rPr>
      </w:pPr>
    </w:p>
    <w:p w14:paraId="2FB7450F">
      <w:pPr>
        <w:keepNext w:val="0"/>
        <w:keepLines w:val="0"/>
        <w:pageBreakBefore w:val="0"/>
        <w:widowControl/>
        <w:tabs>
          <w:tab w:val="left" w:pos="17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9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依据市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val="en-US" w:eastAsia="zh-CN"/>
        </w:rPr>
        <w:t>教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委《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7"/>
          <w:sz w:val="28"/>
          <w:szCs w:val="28"/>
        </w:rPr>
        <w:t>教育系统消防安全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12"/>
          <w:sz w:val="28"/>
          <w:szCs w:val="28"/>
        </w:rPr>
        <w:t>“百日攻坚”夏季行动实施工作方案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》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要求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自即日起至10月底，</w:t>
      </w:r>
      <w:r>
        <w:rPr>
          <w:rFonts w:hint="eastAsia" w:ascii="方正仿宋_GB2312" w:hAnsi="方正仿宋_GB2312" w:eastAsia="方正仿宋_GB2312" w:cs="方正仿宋_GB2312"/>
          <w:color w:val="auto"/>
          <w:spacing w:val="-20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在全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  <w:lang w:val="en-US" w:eastAsia="zh-CN"/>
        </w:rPr>
        <w:t>校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开展消防安全“百日攻坚”夏季行动，结合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val="en-US" w:eastAsia="zh-CN"/>
        </w:rPr>
        <w:t>学生</w:t>
      </w:r>
      <w:r>
        <w:rPr>
          <w:rFonts w:hint="eastAsia" w:ascii="方正仿宋_GB2312" w:hAnsi="方正仿宋_GB2312" w:eastAsia="方正仿宋_GB2312" w:cs="方正仿宋_GB2312"/>
          <w:color w:val="auto"/>
          <w:spacing w:val="-4"/>
          <w:sz w:val="28"/>
          <w:szCs w:val="28"/>
        </w:rPr>
        <w:t>宿舍、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高层建筑、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  <w:lang w:val="en-US" w:eastAsia="zh-CN"/>
        </w:rPr>
        <w:t>实验室安全、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电动自行车管控、暑期施工叠加等突出火灾风险，</w:t>
      </w:r>
      <w:r>
        <w:rPr>
          <w:rFonts w:hint="eastAsia" w:ascii="方正仿宋_GB2312" w:hAnsi="方正仿宋_GB2312" w:eastAsia="方正仿宋_GB2312" w:cs="方正仿宋_GB2312"/>
          <w:color w:val="auto"/>
          <w:spacing w:val="-19"/>
          <w:sz w:val="28"/>
          <w:szCs w:val="28"/>
        </w:rPr>
        <w:t>制定本实施工作方案。</w:t>
      </w:r>
    </w:p>
    <w:p w14:paraId="2403CD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8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2"/>
          <w:sz w:val="28"/>
          <w:szCs w:val="28"/>
        </w:rPr>
        <w:t>一</w:t>
      </w:r>
      <w:r>
        <w:rPr>
          <w:rFonts w:hint="eastAsia" w:ascii="黑体" w:hAnsi="黑体" w:eastAsia="黑体" w:cs="黑体"/>
          <w:color w:val="auto"/>
          <w:spacing w:val="-79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color w:val="auto"/>
          <w:spacing w:val="2"/>
          <w:sz w:val="28"/>
          <w:szCs w:val="28"/>
        </w:rPr>
        <w:t>、工作目标</w:t>
      </w:r>
    </w:p>
    <w:p w14:paraId="518C7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24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8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认真贯彻落实习近平总书记关于坚决抓好安全生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产和防范化解重大安全风险的重要指示精神，坚持“人民至上、生命至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上”,紧扣全市“降概率、控损失”总目标，统筹推进校园消防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安全治本攻坚三年行动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，围绕“两排查、三深化、四推进”系统治理校园火灾风险。全面整治学校宿舍、高层建筑、疏散通道、电动自行车管控、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sz w:val="28"/>
          <w:szCs w:val="28"/>
        </w:rPr>
        <w:t>保温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材料、施工动火作业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val="en-US" w:eastAsia="zh-CN"/>
        </w:rPr>
        <w:t>实验室安全等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突出隐患，压实各方消防安全责任，坚决遏制校园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val="en-US" w:eastAsia="zh-CN"/>
        </w:rPr>
        <w:t>火情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多发，杜绝较大及有影响火灾事故，以校园消防</w:t>
      </w:r>
      <w:r>
        <w:rPr>
          <w:rFonts w:hint="eastAsia" w:ascii="方正仿宋_GB2312" w:hAnsi="方正仿宋_GB2312" w:eastAsia="方正仿宋_GB2312" w:cs="方正仿宋_GB2312"/>
          <w:color w:val="auto"/>
          <w:spacing w:val="-18"/>
          <w:sz w:val="28"/>
          <w:szCs w:val="28"/>
        </w:rPr>
        <w:t>安全保障</w:t>
      </w:r>
      <w:r>
        <w:rPr>
          <w:rFonts w:hint="eastAsia" w:ascii="方正仿宋_GB2312" w:hAnsi="方正仿宋_GB2312" w:eastAsia="方正仿宋_GB2312" w:cs="方正仿宋_GB2312"/>
          <w:color w:val="auto"/>
          <w:spacing w:val="-18"/>
          <w:sz w:val="28"/>
          <w:szCs w:val="28"/>
          <w:lang w:val="en-US" w:eastAsia="zh-CN"/>
        </w:rPr>
        <w:t>学校</w:t>
      </w:r>
      <w:r>
        <w:rPr>
          <w:rFonts w:hint="eastAsia" w:ascii="方正仿宋_GB2312" w:hAnsi="方正仿宋_GB2312" w:eastAsia="方正仿宋_GB2312" w:cs="方正仿宋_GB2312"/>
          <w:color w:val="auto"/>
          <w:spacing w:val="-18"/>
          <w:sz w:val="28"/>
          <w:szCs w:val="28"/>
        </w:rPr>
        <w:t>安全稳定。</w:t>
      </w:r>
    </w:p>
    <w:p w14:paraId="4B0321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80" w:firstLineChars="200"/>
        <w:textAlignment w:val="baseline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5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pacing w:val="5"/>
          <w:sz w:val="28"/>
          <w:szCs w:val="28"/>
        </w:rPr>
        <w:t>、主要任务</w:t>
      </w:r>
    </w:p>
    <w:p w14:paraId="3492D8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86" w:firstLineChars="200"/>
        <w:textAlignment w:val="baseline"/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pacing w:val="31"/>
          <w:sz w:val="28"/>
          <w:szCs w:val="28"/>
        </w:rPr>
        <w:t>(一)两排查(两类风险场所排查)</w:t>
      </w:r>
    </w:p>
    <w:p w14:paraId="779EA5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val="en-US" w:eastAsia="zh-CN"/>
        </w:rPr>
        <w:t>突出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隐患专项排查。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val="en-US" w:eastAsia="zh-CN"/>
        </w:rPr>
        <w:t>责任单位：保卫处、公共事务处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eastAsia="zh-CN"/>
        </w:rPr>
        <w:t>）</w:t>
      </w:r>
    </w:p>
    <w:p w14:paraId="280BC6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6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</w:rPr>
        <w:t>严查违规使用易燃可燃夹芯彩钢板用作宿舍，一经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发现立即停用、限期拆除。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严查消防设施缺失和损坏问题，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对“应设未设”或设施无法正常使用的，限期维保更换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sz w:val="28"/>
          <w:szCs w:val="28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sz w:val="28"/>
          <w:szCs w:val="28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严查安全疏散问题，严禁加装防盗铁窗封堵逃生口；教室、宿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</w:rPr>
        <w:t>舍、楼道不得堆放杂物堵塞通道；常闭式防火门保持关闭。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严查分租外包消防安全责任不清问题，校内食堂、超市等在分租、转租形成“校中校、铺中铺”的，签订三方消防安全责任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书，明确各方责任。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严查校园动火作业“六必须”管控问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</w:rPr>
        <w:t>题，暑期校舍维修、外墙翻新、管道改造动火必须线上报备，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配齐灭火器材、现场监护、清理周边可燃物，严禁边上课、边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营业、边施工动火。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严查超员住宿问题，宿舍违规加床、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超额居住的立即清退整改。</w:t>
      </w:r>
    </w:p>
    <w:p w14:paraId="34E345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1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1"/>
          <w:sz w:val="28"/>
          <w:szCs w:val="28"/>
        </w:rPr>
        <w:t>2.校园存量历史无手续建筑消防隐患问题排查治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</w:rPr>
        <w:t>理。针对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校内建筑面积1000 m²以上无手续厂房、库房、宿舍开展联合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</w:rPr>
        <w:t>排查治理，重点排查四类隐患问题。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  <w:lang w:val="en-US" w:eastAsia="zh-CN"/>
        </w:rPr>
        <w:t>责任单位：保卫处、校园建设处、公共事务处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  <w:lang w:eastAsia="zh-CN"/>
        </w:rPr>
        <w:t>）</w:t>
      </w:r>
    </w:p>
    <w:p w14:paraId="315F68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84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8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</w:rPr>
        <w:t>严查金属夹芯彩钢板搭建；</w:t>
      </w: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6"/>
          <w:sz w:val="28"/>
          <w:szCs w:val="28"/>
        </w:rPr>
        <w:t>严查占用校</w:t>
      </w:r>
      <w:r>
        <w:rPr>
          <w:rFonts w:hint="eastAsia" w:ascii="方正仿宋_GB2312" w:hAnsi="方正仿宋_GB2312" w:eastAsia="方正仿宋_GB2312" w:cs="方正仿宋_GB2312"/>
          <w:color w:val="auto"/>
          <w:spacing w:val="5"/>
          <w:sz w:val="28"/>
          <w:szCs w:val="28"/>
        </w:rPr>
        <w:t>园消防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车道、消防车登高操作场地、扑救面堆放教具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、车辆、杂物；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</w:rPr>
        <w:t>严查安全出口、应急出口数量不足；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</w:rPr>
        <w:t>严查未按要求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设置喷淋、报警、消火栓、火灾自动报警系统、防排烟系统。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围绕联合排查整治任务，落实三项机制：①联合排查机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制：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  <w:lang w:val="en-US" w:eastAsia="zh-CN"/>
        </w:rPr>
        <w:t>保卫处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牵头，联合属地消防、规自、街道乡镇开展拉网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式排查，统一台账；②分类整改机制：一般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隐患限期整改，</w:t>
      </w:r>
      <w:r>
        <w:rPr>
          <w:rFonts w:hint="eastAsia" w:ascii="方正仿宋_GB2312" w:hAnsi="方正仿宋_GB2312" w:eastAsia="方正仿宋_GB2312" w:cs="方正仿宋_GB2312"/>
          <w:color w:val="auto"/>
          <w:spacing w:val="-4"/>
          <w:sz w:val="28"/>
          <w:szCs w:val="28"/>
        </w:rPr>
        <w:t>符合重大火灾隐患标准的挂账督办；整改期间24小时专人值守，增设临时灭火器、应急照明；③部门协同机制：校内无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手续建筑不得放任不管，纳入学校日常巡查，严禁以无产权、</w:t>
      </w:r>
      <w:r>
        <w:rPr>
          <w:rFonts w:hint="eastAsia" w:ascii="方正仿宋_GB2312" w:hAnsi="方正仿宋_GB2312" w:eastAsia="方正仿宋_GB2312" w:cs="方正仿宋_GB2312"/>
          <w:color w:val="auto"/>
          <w:spacing w:val="-18"/>
          <w:sz w:val="28"/>
          <w:szCs w:val="28"/>
        </w:rPr>
        <w:t>无规划手续为由失控漏管。</w:t>
      </w:r>
    </w:p>
    <w:p w14:paraId="2C8285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8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pacing w:val="30"/>
          <w:sz w:val="28"/>
          <w:szCs w:val="28"/>
        </w:rPr>
        <w:t>(二)三深化(三项风险环节治理)</w:t>
      </w:r>
    </w:p>
    <w:p w14:paraId="44D9CC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04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4"/>
          <w:sz w:val="28"/>
          <w:szCs w:val="28"/>
        </w:rPr>
        <w:t>3.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-14"/>
          <w:sz w:val="28"/>
          <w:szCs w:val="28"/>
        </w:rPr>
        <w:t>深化校园高层建筑消防安全隐患治理。按照国务院安委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会部署要求，落实五项任务。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val="en-US" w:eastAsia="zh-CN"/>
        </w:rPr>
        <w:t>责任单位：保卫处、国有资产管理处、公共事务处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eastAsia="zh-CN"/>
        </w:rPr>
        <w:t>）</w:t>
      </w:r>
    </w:p>
    <w:p w14:paraId="419019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28"/>
          <w:szCs w:val="28"/>
        </w:rPr>
        <w:t>明确管理责任主体及职责。多产权高层建筑，逐个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明确公共部位管理主体和各方管理范围及职责；对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</w:rPr>
        <w:t>于无物业管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理高层生活区，主动联属地街道乡镇明确管理主体，解决失管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漏控。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常态化落实自查机制。高层公共建筑每半月自查1次，高层住宅建筑每月自查1次。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挂账整改。对于已挂账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在75个高层小区中尚未整改的加快整改进度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，年内全部整改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核验销账。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分级挂账督改一批突出隐患。聚焦消防设施损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坏瘫痪、消防车登高场地违建、地下空间违规住人、外墙易燃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装饰等问题，市、区分级分类挂账督改。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开展整治成效抽</w:t>
      </w: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</w:rPr>
        <w:t>查核验。市区两级防火办分别按照5%和15%比例抽查高层建筑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</w:rPr>
        <w:t>台账、隐患整改情况，不合格单位重新排查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整改。</w:t>
      </w:r>
    </w:p>
    <w:p w14:paraId="3BE672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3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</w:rPr>
        <w:t>4. 深化“双疏散通道”兜底措施。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  <w:lang w:val="en-US" w:eastAsia="zh-CN"/>
        </w:rPr>
        <w:t>责任单位：校园建设处、公共事务处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  <w:lang w:eastAsia="zh-CN"/>
        </w:rPr>
        <w:t>）</w:t>
      </w:r>
    </w:p>
    <w:p w14:paraId="476276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>严格设置标准。人员密集场所，严格落实“两个以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上独立疏散通道”要求，即根据技术标准应设置2部疏散楼梯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或安全出口的，严格按照技术标准设置并保持畅通；可以设置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pacing w:val="-57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</w:rPr>
        <w:t>部疏散楼梯或1个安全出口的，应依托外窗、阳台等设置相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对独立的逃生口。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源头管控。新建、改扩建校舍、校外培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训机构严格落实消防设计审查、验收；户外宣传栏、广告牌不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得遮挡窗户、封堵疏散出口。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明确管理责任。多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业态混合</w:t>
      </w:r>
      <w:r>
        <w:rPr>
          <w:rFonts w:hint="eastAsia" w:ascii="方正仿宋_GB2312" w:hAnsi="方正仿宋_GB2312" w:eastAsia="方正仿宋_GB2312" w:cs="方正仿宋_GB2312"/>
          <w:color w:val="auto"/>
          <w:spacing w:val="-4"/>
          <w:sz w:val="28"/>
          <w:szCs w:val="28"/>
        </w:rPr>
        <w:t>校舍(食堂+超市+培训)明确共用通道管理责任人，建立每日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巡查清理制度。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常态化大扫除。落实常态化“大扫除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”机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sz w:val="28"/>
          <w:szCs w:val="28"/>
        </w:rPr>
        <w:t>制，持续整治疏散通道不足、违规占堵等问题。</w:t>
      </w:r>
    </w:p>
    <w:p w14:paraId="4A7DC4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4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</w:rPr>
        <w:t>5. 深化电动自行车“进楼入户”严管严控。对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>标全市电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动自行车整治要求，抓好四项任务。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责任单位：保卫处、公共事务处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）</w:t>
      </w:r>
    </w:p>
    <w:p w14:paraId="26B6B0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20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落实电动自行车登记管理和巡查管控。学校统一登</w:t>
      </w:r>
      <w:r>
        <w:rPr>
          <w:rFonts w:hint="eastAsia" w:ascii="方正仿宋_GB2312" w:hAnsi="方正仿宋_GB2312" w:eastAsia="方正仿宋_GB2312" w:cs="方正仿宋_GB2312"/>
          <w:color w:val="auto"/>
          <w:spacing w:val="-22"/>
          <w:sz w:val="28"/>
          <w:szCs w:val="28"/>
        </w:rPr>
        <w:t>记教职工、学生电动自行车；</w:t>
      </w:r>
      <w:r>
        <w:rPr>
          <w:rFonts w:hint="eastAsia" w:ascii="方正仿宋_GB2312" w:hAnsi="方正仿宋_GB2312" w:eastAsia="方正仿宋_GB2312" w:cs="方正仿宋_GB2312"/>
          <w:color w:val="auto"/>
          <w:spacing w:val="-22"/>
          <w:sz w:val="28"/>
          <w:szCs w:val="28"/>
          <w:lang w:val="en-US" w:eastAsia="zh-CN"/>
        </w:rPr>
        <w:t>物员人员</w:t>
      </w:r>
      <w:r>
        <w:rPr>
          <w:rFonts w:hint="eastAsia" w:ascii="方正仿宋_GB2312" w:hAnsi="方正仿宋_GB2312" w:eastAsia="方正仿宋_GB2312" w:cs="方正仿宋_GB2312"/>
          <w:color w:val="auto"/>
          <w:spacing w:val="-22"/>
          <w:sz w:val="28"/>
          <w:szCs w:val="28"/>
        </w:rPr>
        <w:t>每日巡查楼道、门厅，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sz w:val="28"/>
          <w:szCs w:val="28"/>
        </w:rPr>
        <w:t>发现室内停放充电立即清离，私藏蓄电池上门劝阻拿离室外。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推广应用技术手段。宿舍楼首层门厅、楼梯口禁止车辆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停放充电；鼓励宿舍楼出入口安装智能识别摄像头，实时预警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违规进楼。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规范室外充电设施。按要求规范设置室外充电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设施，合理配比充电设施与车辆保有量。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加强排查检查。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val="en-US" w:eastAsia="zh-CN"/>
        </w:rPr>
        <w:t>各单位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要加强排查，杜绝师生违规入户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</w:rPr>
        <w:t>停放占用堵塞疏散通道、安全出口等行为。</w:t>
      </w:r>
    </w:p>
    <w:p w14:paraId="691DC0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86" w:firstLineChars="200"/>
        <w:textAlignment w:val="baseline"/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pacing w:val="31"/>
          <w:sz w:val="28"/>
          <w:szCs w:val="28"/>
        </w:rPr>
        <w:t>(三)四推进(四类重点场所整治)</w:t>
      </w:r>
    </w:p>
    <w:p w14:paraId="7FDA51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3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6.推进建筑保温材料整治。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聚焦高层外墙易燃保温系统“三类隐患”区分风险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等级，推动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</w:rPr>
        <w:t>整体或局部拆除更换。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val="en-US" w:eastAsia="zh-CN"/>
        </w:rPr>
        <w:t>责任单位：公共事务处</w:t>
      </w:r>
      <w:r>
        <w:rPr>
          <w:rFonts w:hint="eastAsia" w:ascii="方正仿宋_GB2312" w:hAnsi="方正仿宋_GB2312" w:eastAsia="方正仿宋_GB2312" w:cs="方正仿宋_GB2312"/>
          <w:color w:val="auto"/>
          <w:spacing w:val="-10"/>
          <w:sz w:val="28"/>
          <w:szCs w:val="28"/>
          <w:lang w:eastAsia="zh-CN"/>
        </w:rPr>
        <w:t>）</w:t>
      </w:r>
    </w:p>
    <w:p w14:paraId="26D635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8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2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2"/>
          <w:sz w:val="28"/>
          <w:szCs w:val="28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pacing w:val="2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2"/>
          <w:sz w:val="28"/>
          <w:szCs w:val="28"/>
        </w:rPr>
        <w:t>三类隐患分级处置。外墙采用易燃保温、可燃保温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存在空腔未封堵、搭配可燃铝塑板装饰校舍，分批次更换A 级</w:t>
      </w: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</w:rPr>
        <w:t>不燃/B1级难燃保温材料；</w:t>
      </w: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</w:rPr>
        <w:t>分类改造方案。具备整体改造</w:t>
      </w:r>
      <w:r>
        <w:rPr>
          <w:rFonts w:hint="eastAsia" w:ascii="方正仿宋_GB2312" w:hAnsi="方正仿宋_GB2312" w:eastAsia="方正仿宋_GB2312" w:cs="方正仿宋_GB2312"/>
          <w:color w:val="auto"/>
          <w:spacing w:val="7"/>
          <w:sz w:val="28"/>
          <w:szCs w:val="28"/>
        </w:rPr>
        <w:t>条件的全面更换；条件受限的1—3层、裙房、楼顶两层优先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更换A级保温，封堵幕墙空腔、更换耐火防火窗；短期无法改</w:t>
      </w: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</w:rPr>
        <w:t>造的设置警示标识，严控外墙动火、周边堆放可燃物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。</w:t>
      </w:r>
    </w:p>
    <w:p w14:paraId="7F486E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1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</w:rPr>
        <w:t>7.推进人员密集场所动火作业管理。依托全市“动火报</w:t>
      </w:r>
      <w:r>
        <w:rPr>
          <w:rFonts w:hint="eastAsia" w:ascii="方正仿宋_GB2312" w:hAnsi="方正仿宋_GB2312" w:eastAsia="方正仿宋_GB2312" w:cs="方正仿宋_GB2312"/>
          <w:color w:val="auto"/>
          <w:spacing w:val="-13"/>
          <w:sz w:val="28"/>
          <w:szCs w:val="28"/>
        </w:rPr>
        <w:t>备”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系统，实现校园动火全流程线上报备、现场核查、闭环治理。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  <w:lang w:val="en-US" w:eastAsia="zh-CN"/>
        </w:rPr>
        <w:t>责任单位：保卫处、校园建设处、公共事务处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  <w:lang w:eastAsia="zh-CN"/>
        </w:rPr>
        <w:t>）</w:t>
      </w:r>
    </w:p>
    <w:p w14:paraId="537F60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00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暑期校舍改造、外墙翻新、管线施工全部线上报备，市教委每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月至少一次开展施工动火作业专项检</w:t>
      </w: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</w:rPr>
        <w:t>查；积极推广非热熔铺粘防水材料使用。</w:t>
      </w:r>
    </w:p>
    <w:p w14:paraId="45BF0A02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6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val="en-US" w:eastAsia="zh-CN"/>
        </w:rPr>
        <w:t>推进实验室安全专项治理。（责任单位：实验室管理处）</w:t>
      </w:r>
    </w:p>
    <w:p w14:paraId="5AEE9EB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 w:firstLine="496" w:firstLineChars="200"/>
        <w:textAlignment w:val="baseline"/>
        <w:rPr>
          <w:rFonts w:hint="default" w:ascii="方正仿宋_GB2312" w:hAnsi="方正仿宋_GB2312" w:eastAsia="方正仿宋_GB2312" w:cs="方正仿宋_GB2312"/>
          <w:color w:val="auto"/>
          <w:spacing w:val="-16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6"/>
          <w:sz w:val="28"/>
          <w:szCs w:val="28"/>
          <w:lang w:val="en-US" w:eastAsia="zh-CN"/>
        </w:rPr>
        <w:t>根据学校实验室安全基础建设年专项行动方案，重点围绕实验室日常安全管理、危化品采购、存储、使用环节，扎实推进实验室安全专项治理工作。暑假期间，严格执行开放实验室审批，建立留校学生实验活动登记备案制度，明确指导教师、实验技术人员全程在场指导。</w:t>
      </w:r>
    </w:p>
    <w:p w14:paraId="18A67B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16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14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color w:val="auto"/>
          <w:spacing w:val="14"/>
          <w:sz w:val="28"/>
          <w:szCs w:val="28"/>
        </w:rPr>
        <w:t>、工作要求</w:t>
      </w:r>
    </w:p>
    <w:p w14:paraId="641441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2" w:firstLineChars="200"/>
        <w:textAlignment w:val="baseline"/>
        <w:rPr>
          <w:rFonts w:hint="default" w:ascii="方正仿宋_GB2312" w:hAnsi="方正仿宋_GB2312" w:eastAsia="方正仿宋_GB2312" w:cs="方正仿宋_GB2312"/>
          <w:color w:val="auto"/>
          <w:spacing w:val="-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( 一)提高政治站位，强化组织推动。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  <w:lang w:val="en-US" w:eastAsia="zh-CN"/>
        </w:rPr>
        <w:t>各单位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要将百日攻坚作为校园安全核心任务，与消防安全治本攻坚三年行动、“打非治违”专项行动、暑期校园安全、开学保障一体推进；落实“三管三必须”,压紧学校主体、岗位全员责任。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  <w:lang w:val="en-US" w:eastAsia="zh-CN"/>
        </w:rPr>
        <w:t>8月底前，各责任单位组织开展排查，形成问题台账，并明确整改措施和完成时限。10月底前，各责任单位完成问题的整改，并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梳理总结专项整治工作成效、典型经验和存在问题，反馈工作情况。</w:t>
      </w:r>
    </w:p>
    <w:p w14:paraId="65145F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2" w:firstLineChars="200"/>
        <w:textAlignment w:val="baseline"/>
        <w:rPr>
          <w:rFonts w:hint="default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</w:rPr>
        <w:t>(二)统筹多方力量，深化联管联动。</w:t>
      </w:r>
      <w:r>
        <w:rPr>
          <w:rFonts w:hint="eastAsia" w:ascii="方正仿宋_GB2312" w:hAnsi="方正仿宋_GB2312" w:eastAsia="方正仿宋_GB2312" w:cs="方正仿宋_GB2312"/>
          <w:color w:val="auto"/>
          <w:spacing w:val="-90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8"/>
          <w:szCs w:val="28"/>
          <w:lang w:val="en-US" w:eastAsia="zh-CN"/>
        </w:rPr>
        <w:t>保卫处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主动对接消防、街道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val="en-US" w:eastAsia="zh-CN"/>
        </w:rPr>
        <w:t>大学城管委会等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开展联合检查；压实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val="en-US" w:eastAsia="zh-CN"/>
        </w:rPr>
        <w:t>校内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后勤、宿管、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  <w:lang w:val="en-US" w:eastAsia="zh-CN"/>
        </w:rPr>
        <w:t>辅导员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、保安、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</w:rPr>
        <w:t>实验室管理员岗位防火责任，打通隐患治理“最后一米”。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  <w:lang w:val="en-US" w:eastAsia="zh-CN"/>
        </w:rPr>
        <w:t>开学前保卫处牵头，各单位开展安全大排查，消除各类安全隐患，确保开学期间的安全稳定。</w:t>
      </w:r>
    </w:p>
    <w:p w14:paraId="7C7C61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4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1"/>
          <w:sz w:val="28"/>
          <w:szCs w:val="28"/>
        </w:rPr>
        <w:t>(三)强化宣传培训，提升师生应急能力。加强校园消防</w:t>
      </w:r>
      <w:r>
        <w:rPr>
          <w:rFonts w:hint="eastAsia" w:ascii="方正仿宋_GB2312" w:hAnsi="方正仿宋_GB2312" w:eastAsia="方正仿宋_GB2312" w:cs="方正仿宋_GB2312"/>
          <w:color w:val="auto"/>
          <w:spacing w:val="-5"/>
          <w:sz w:val="28"/>
          <w:szCs w:val="28"/>
        </w:rPr>
        <w:t>安全常识科普宣传、逃生避难常识宣传和典型火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28"/>
          <w:szCs w:val="28"/>
        </w:rPr>
        <w:t>灾事故案例警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</w:rPr>
        <w:t>示教育。组织保安、宿管、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  <w:lang w:val="en-US" w:eastAsia="zh-CN"/>
        </w:rPr>
        <w:t>食堂员工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</w:rPr>
        <w:t>、实验室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  <w:lang w:val="en-US" w:eastAsia="zh-CN"/>
        </w:rPr>
        <w:t>师生</w:t>
      </w:r>
      <w:r>
        <w:rPr>
          <w:rFonts w:hint="eastAsia" w:ascii="方正仿宋_GB2312" w:hAnsi="方正仿宋_GB2312" w:eastAsia="方正仿宋_GB2312" w:cs="方正仿宋_GB2312"/>
          <w:color w:val="auto"/>
          <w:spacing w:val="-12"/>
          <w:sz w:val="28"/>
          <w:szCs w:val="28"/>
        </w:rPr>
        <w:t>开</w:t>
      </w:r>
      <w:r>
        <w:rPr>
          <w:rFonts w:hint="eastAsia" w:ascii="方正仿宋_GB2312" w:hAnsi="方正仿宋_GB2312" w:eastAsia="方正仿宋_GB2312" w:cs="方正仿宋_GB2312"/>
          <w:color w:val="auto"/>
          <w:spacing w:val="-13"/>
          <w:sz w:val="28"/>
          <w:szCs w:val="28"/>
        </w:rPr>
        <w:t>展灭火器、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消火栓实操培训，开展全员疏散演练。</w:t>
      </w:r>
    </w:p>
    <w:p w14:paraId="745EC0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24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(四)强化综合保障，夯实治本基础。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学校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统筹年</w:t>
      </w:r>
      <w:r>
        <w:rPr>
          <w:rFonts w:hint="eastAsia" w:ascii="方正仿宋_GB2312" w:hAnsi="方正仿宋_GB2312" w:eastAsia="方正仿宋_GB2312" w:cs="方正仿宋_GB2312"/>
          <w:color w:val="auto"/>
          <w:spacing w:val="-15"/>
          <w:sz w:val="28"/>
          <w:szCs w:val="28"/>
        </w:rPr>
        <w:t>度安全经费，优先保障消防设施维保、充电棚建设、外墙保温</w:t>
      </w:r>
      <w:r>
        <w:rPr>
          <w:rFonts w:hint="eastAsia" w:ascii="方正仿宋_GB2312" w:hAnsi="方正仿宋_GB2312" w:eastAsia="方正仿宋_GB2312" w:cs="方正仿宋_GB2312"/>
          <w:color w:val="auto"/>
          <w:spacing w:val="-3"/>
          <w:sz w:val="28"/>
          <w:szCs w:val="28"/>
        </w:rPr>
        <w:t>改造、技防监控设备加装；同步完善人防(巡查队伍)、技防</w:t>
      </w:r>
      <w:r>
        <w:rPr>
          <w:rFonts w:hint="eastAsia" w:ascii="方正仿宋_GB2312" w:hAnsi="方正仿宋_GB2312" w:eastAsia="方正仿宋_GB2312" w:cs="方正仿宋_GB2312"/>
          <w:color w:val="auto"/>
          <w:spacing w:val="4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-7"/>
          <w:sz w:val="28"/>
          <w:szCs w:val="28"/>
        </w:rPr>
        <w:t>(智能监控、烟感预警)、工程防(校舍消防改造)、管</w:t>
      </w:r>
      <w:r>
        <w:rPr>
          <w:rFonts w:hint="eastAsia" w:ascii="方正仿宋_GB2312" w:hAnsi="方正仿宋_GB2312" w:eastAsia="方正仿宋_GB2312" w:cs="方正仿宋_GB2312"/>
          <w:color w:val="auto"/>
          <w:spacing w:val="-8"/>
          <w:sz w:val="28"/>
          <w:szCs w:val="28"/>
        </w:rPr>
        <w:t>理防(制度台账)四项治本措施。</w:t>
      </w:r>
    </w:p>
    <w:p w14:paraId="481D5F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24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后附：《北京工商大学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</w:rPr>
        <w:t>消防安全“百日攻坚”夏季行动实施工作</w:t>
      </w:r>
      <w:r>
        <w:rPr>
          <w:rFonts w:hint="eastAsia" w:ascii="方正仿宋_GB2312" w:hAnsi="方正仿宋_GB2312" w:eastAsia="方正仿宋_GB2312" w:cs="方正仿宋_GB2312"/>
          <w:color w:val="auto"/>
          <w:spacing w:val="-9"/>
          <w:sz w:val="28"/>
          <w:szCs w:val="28"/>
          <w:lang w:val="en-US" w:eastAsia="zh-CN"/>
        </w:rPr>
        <w:t>台账表》</w:t>
      </w:r>
    </w:p>
    <w:p w14:paraId="60BE458C">
      <w:pPr>
        <w:spacing w:before="143" w:line="219" w:lineRule="auto"/>
        <w:jc w:val="center"/>
        <w:rPr>
          <w:rFonts w:hint="eastAsia" w:ascii="宋体" w:hAnsi="宋体" w:eastAsia="宋体" w:cs="宋体"/>
          <w:b/>
          <w:bCs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3"/>
          <w:sz w:val="32"/>
          <w:szCs w:val="32"/>
          <w:lang w:val="en-US" w:eastAsia="zh-CN"/>
        </w:rPr>
        <w:t>北京工商大学</w:t>
      </w:r>
      <w:r>
        <w:rPr>
          <w:rFonts w:ascii="宋体" w:hAnsi="宋体" w:eastAsia="宋体" w:cs="宋体"/>
          <w:b/>
          <w:bCs/>
          <w:color w:val="auto"/>
          <w:spacing w:val="3"/>
          <w:sz w:val="32"/>
          <w:szCs w:val="32"/>
        </w:rPr>
        <w:t>消防安全“百日攻坚”</w:t>
      </w:r>
      <w:r>
        <w:rPr>
          <w:rFonts w:ascii="宋体" w:hAnsi="宋体" w:eastAsia="宋体" w:cs="宋体"/>
          <w:b/>
          <w:bCs/>
          <w:color w:val="auto"/>
          <w:spacing w:val="-7"/>
          <w:sz w:val="32"/>
          <w:szCs w:val="32"/>
        </w:rPr>
        <w:t>夏季行动实施工作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32"/>
          <w:szCs w:val="32"/>
          <w:lang w:val="en-US" w:eastAsia="zh-CN"/>
        </w:rPr>
        <w:t>台账表</w:t>
      </w:r>
    </w:p>
    <w:p w14:paraId="5E556777">
      <w:pPr>
        <w:spacing w:before="143" w:line="219" w:lineRule="auto"/>
        <w:jc w:val="center"/>
        <w:rPr>
          <w:rFonts w:hint="eastAsia" w:ascii="宋体" w:hAnsi="宋体" w:eastAsia="宋体" w:cs="宋体"/>
          <w:b/>
          <w:bCs/>
          <w:color w:val="auto"/>
          <w:spacing w:val="-7"/>
          <w:sz w:val="32"/>
          <w:szCs w:val="32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120"/>
        <w:gridCol w:w="2312"/>
        <w:gridCol w:w="1772"/>
        <w:gridCol w:w="2216"/>
        <w:gridCol w:w="2630"/>
        <w:gridCol w:w="1390"/>
        <w:gridCol w:w="852"/>
      </w:tblGrid>
      <w:tr w14:paraId="77E7E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6BDE728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20" w:type="dxa"/>
            <w:vAlign w:val="center"/>
          </w:tcPr>
          <w:p w14:paraId="4401B20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排查问题分类</w:t>
            </w:r>
          </w:p>
        </w:tc>
        <w:tc>
          <w:tcPr>
            <w:tcW w:w="2312" w:type="dxa"/>
            <w:vAlign w:val="center"/>
          </w:tcPr>
          <w:p w14:paraId="6BEACB3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排查问题内容</w:t>
            </w:r>
          </w:p>
        </w:tc>
        <w:tc>
          <w:tcPr>
            <w:tcW w:w="1772" w:type="dxa"/>
            <w:vAlign w:val="center"/>
          </w:tcPr>
          <w:p w14:paraId="5353D50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责任单位</w:t>
            </w:r>
          </w:p>
        </w:tc>
        <w:tc>
          <w:tcPr>
            <w:tcW w:w="2216" w:type="dxa"/>
            <w:vAlign w:val="center"/>
          </w:tcPr>
          <w:p w14:paraId="1B82C55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排查情况</w:t>
            </w:r>
          </w:p>
        </w:tc>
        <w:tc>
          <w:tcPr>
            <w:tcW w:w="2630" w:type="dxa"/>
            <w:vAlign w:val="center"/>
          </w:tcPr>
          <w:p w14:paraId="583E494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整改措施</w:t>
            </w:r>
          </w:p>
        </w:tc>
        <w:tc>
          <w:tcPr>
            <w:tcW w:w="1390" w:type="dxa"/>
            <w:vAlign w:val="center"/>
          </w:tcPr>
          <w:p w14:paraId="3078ED0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完成时限</w:t>
            </w:r>
          </w:p>
        </w:tc>
        <w:tc>
          <w:tcPr>
            <w:tcW w:w="852" w:type="dxa"/>
            <w:vAlign w:val="center"/>
          </w:tcPr>
          <w:p w14:paraId="46EE66E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2FB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3C7E545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20" w:type="dxa"/>
            <w:vMerge w:val="restart"/>
            <w:vAlign w:val="center"/>
          </w:tcPr>
          <w:p w14:paraId="1C6A2C8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  <w:t>突出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5"/>
                <w:sz w:val="24"/>
                <w:szCs w:val="24"/>
              </w:rPr>
              <w:t>隐患专项</w:t>
            </w:r>
          </w:p>
        </w:tc>
        <w:tc>
          <w:tcPr>
            <w:tcW w:w="2312" w:type="dxa"/>
            <w:vAlign w:val="center"/>
          </w:tcPr>
          <w:p w14:paraId="24A10CA1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"/>
                <w:sz w:val="24"/>
                <w:szCs w:val="24"/>
              </w:rPr>
              <w:t>使用易燃可燃夹芯彩钢板用作宿舍</w:t>
            </w:r>
          </w:p>
        </w:tc>
        <w:tc>
          <w:tcPr>
            <w:tcW w:w="1772" w:type="dxa"/>
            <w:vAlign w:val="center"/>
          </w:tcPr>
          <w:p w14:paraId="4C66894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137F7AE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266959DE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69BDE3C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169F294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34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5E102A4D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20" w:type="dxa"/>
            <w:vMerge w:val="continue"/>
            <w:vAlign w:val="center"/>
          </w:tcPr>
          <w:p w14:paraId="40A6A58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2" w:type="dxa"/>
            <w:vAlign w:val="center"/>
          </w:tcPr>
          <w:p w14:paraId="52FB4854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6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6"/>
                <w:sz w:val="24"/>
                <w:szCs w:val="24"/>
              </w:rPr>
              <w:t>消防设施缺失和损坏，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0"/>
                <w:sz w:val="24"/>
                <w:szCs w:val="24"/>
              </w:rPr>
              <w:t>对“应设未设”或设施无法正常使用</w:t>
            </w:r>
          </w:p>
        </w:tc>
        <w:tc>
          <w:tcPr>
            <w:tcW w:w="1772" w:type="dxa"/>
            <w:vAlign w:val="center"/>
          </w:tcPr>
          <w:p w14:paraId="5610FDA7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</w:tc>
        <w:tc>
          <w:tcPr>
            <w:tcW w:w="2216" w:type="dxa"/>
            <w:vAlign w:val="center"/>
          </w:tcPr>
          <w:p w14:paraId="3BE7B5C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5477B5CC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039AD12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25FA07E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5B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6FFC6B07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20" w:type="dxa"/>
            <w:vMerge w:val="continue"/>
            <w:vAlign w:val="center"/>
          </w:tcPr>
          <w:p w14:paraId="686B848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2" w:type="dxa"/>
            <w:vAlign w:val="center"/>
          </w:tcPr>
          <w:p w14:paraId="7A2F663E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5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5"/>
                <w:sz w:val="24"/>
                <w:szCs w:val="24"/>
              </w:rPr>
              <w:t>加装防盗铁窗封堵逃生口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5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5"/>
                <w:sz w:val="24"/>
                <w:szCs w:val="24"/>
              </w:rPr>
              <w:t>教室、宿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7"/>
                <w:sz w:val="24"/>
                <w:szCs w:val="24"/>
              </w:rPr>
              <w:t>舍、楼道堆放杂物堵塞通道；常闭式防火门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7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7"/>
                <w:sz w:val="24"/>
                <w:szCs w:val="24"/>
              </w:rPr>
              <w:t>保持关闭</w:t>
            </w:r>
          </w:p>
        </w:tc>
        <w:tc>
          <w:tcPr>
            <w:tcW w:w="1772" w:type="dxa"/>
            <w:vAlign w:val="center"/>
          </w:tcPr>
          <w:p w14:paraId="69736694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  <w:p w14:paraId="7A847F0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06057A0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617EDE9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59A39F9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14DB6C0E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DC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4ACBDFF9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20" w:type="dxa"/>
            <w:vMerge w:val="continue"/>
            <w:vAlign w:val="center"/>
          </w:tcPr>
          <w:p w14:paraId="43661BF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2" w:type="dxa"/>
            <w:vAlign w:val="center"/>
          </w:tcPr>
          <w:p w14:paraId="39426AC2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5"/>
                <w:sz w:val="24"/>
                <w:szCs w:val="24"/>
                <w:lang w:val="en-US" w:eastAsia="zh-CN"/>
              </w:rPr>
              <w:t>是否存在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5"/>
                <w:sz w:val="24"/>
                <w:szCs w:val="24"/>
              </w:rPr>
              <w:t>分租外包消防安全责任不清问题</w:t>
            </w:r>
          </w:p>
        </w:tc>
        <w:tc>
          <w:tcPr>
            <w:tcW w:w="1772" w:type="dxa"/>
            <w:vAlign w:val="center"/>
          </w:tcPr>
          <w:p w14:paraId="202496E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  <w:p w14:paraId="5630A7E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755633A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6332BED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18A7EB0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725711E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99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57D209E3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20" w:type="dxa"/>
            <w:vMerge w:val="continue"/>
            <w:vAlign w:val="center"/>
          </w:tcPr>
          <w:p w14:paraId="65A5395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2" w:type="dxa"/>
            <w:vAlign w:val="center"/>
          </w:tcPr>
          <w:p w14:paraId="3E24730B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9"/>
                <w:sz w:val="24"/>
                <w:szCs w:val="24"/>
                <w:lang w:val="en-US" w:eastAsia="zh-CN"/>
              </w:rPr>
              <w:t>是否存在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9"/>
                <w:sz w:val="24"/>
                <w:szCs w:val="24"/>
              </w:rPr>
              <w:t>校园动火作业“六必须”管控问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12"/>
                <w:sz w:val="24"/>
                <w:szCs w:val="24"/>
              </w:rPr>
              <w:t>题</w:t>
            </w:r>
          </w:p>
        </w:tc>
        <w:tc>
          <w:tcPr>
            <w:tcW w:w="1772" w:type="dxa"/>
            <w:vAlign w:val="center"/>
          </w:tcPr>
          <w:p w14:paraId="01C4C1C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</w:tc>
        <w:tc>
          <w:tcPr>
            <w:tcW w:w="2216" w:type="dxa"/>
            <w:vAlign w:val="center"/>
          </w:tcPr>
          <w:p w14:paraId="7DD8EBD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14EA9DF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0A2996C9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4333D44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620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5E8F3463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120" w:type="dxa"/>
            <w:vMerge w:val="continue"/>
            <w:vAlign w:val="center"/>
          </w:tcPr>
          <w:p w14:paraId="1442B9E4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2" w:type="dxa"/>
            <w:vAlign w:val="center"/>
          </w:tcPr>
          <w:p w14:paraId="05582C9C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是否存在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6"/>
                <w:sz w:val="24"/>
                <w:szCs w:val="24"/>
              </w:rPr>
              <w:t>超员住宿问题</w:t>
            </w:r>
          </w:p>
        </w:tc>
        <w:tc>
          <w:tcPr>
            <w:tcW w:w="1772" w:type="dxa"/>
            <w:vAlign w:val="center"/>
          </w:tcPr>
          <w:p w14:paraId="34F73CA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04DB89A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13B4F27C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7C2B6D7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1F294EC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7B6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882" w:type="dxa"/>
            <w:vAlign w:val="center"/>
          </w:tcPr>
          <w:p w14:paraId="3D59EEF2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120" w:type="dxa"/>
            <w:vMerge w:val="restart"/>
            <w:vAlign w:val="center"/>
          </w:tcPr>
          <w:p w14:paraId="71315E5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1"/>
                <w:sz w:val="24"/>
                <w:szCs w:val="24"/>
              </w:rPr>
              <w:t>校园存量历史无手续建筑消防隐患问题排查</w:t>
            </w:r>
          </w:p>
        </w:tc>
        <w:tc>
          <w:tcPr>
            <w:tcW w:w="2312" w:type="dxa"/>
            <w:vAlign w:val="center"/>
          </w:tcPr>
          <w:p w14:paraId="3758D875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6"/>
                <w:sz w:val="24"/>
                <w:szCs w:val="24"/>
                <w:lang w:val="en-US" w:eastAsia="zh-CN"/>
              </w:rPr>
              <w:t>是否存在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6"/>
                <w:sz w:val="24"/>
                <w:szCs w:val="24"/>
              </w:rPr>
              <w:t>金属夹芯彩钢板搭建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6"/>
                <w:sz w:val="24"/>
                <w:szCs w:val="24"/>
                <w:lang w:val="en-US" w:eastAsia="zh-CN"/>
              </w:rPr>
              <w:t>问题</w:t>
            </w:r>
          </w:p>
        </w:tc>
        <w:tc>
          <w:tcPr>
            <w:tcW w:w="1772" w:type="dxa"/>
            <w:vAlign w:val="center"/>
          </w:tcPr>
          <w:p w14:paraId="7DAAF5CB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校园建设处</w:t>
            </w:r>
          </w:p>
        </w:tc>
        <w:tc>
          <w:tcPr>
            <w:tcW w:w="2216" w:type="dxa"/>
            <w:vAlign w:val="center"/>
          </w:tcPr>
          <w:p w14:paraId="4FFD2A5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264151A9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712CF30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7FE2800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A8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882" w:type="dxa"/>
            <w:vAlign w:val="center"/>
          </w:tcPr>
          <w:p w14:paraId="1A466E11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120" w:type="dxa"/>
            <w:vMerge w:val="continue"/>
            <w:vAlign w:val="center"/>
          </w:tcPr>
          <w:p w14:paraId="11E7D3A5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11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0F78AB25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6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6"/>
                <w:sz w:val="24"/>
                <w:szCs w:val="24"/>
              </w:rPr>
              <w:t>占用校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5"/>
                <w:sz w:val="24"/>
                <w:szCs w:val="24"/>
              </w:rPr>
              <w:t>园消防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"/>
                <w:sz w:val="24"/>
                <w:szCs w:val="24"/>
              </w:rPr>
              <w:t>车道、消防车登高操作场地、扑救面堆放教具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3"/>
                <w:sz w:val="24"/>
                <w:szCs w:val="24"/>
              </w:rPr>
              <w:t>、车辆、杂物</w:t>
            </w:r>
          </w:p>
        </w:tc>
        <w:tc>
          <w:tcPr>
            <w:tcW w:w="1772" w:type="dxa"/>
            <w:vAlign w:val="center"/>
          </w:tcPr>
          <w:p w14:paraId="297207C9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</w:tc>
        <w:tc>
          <w:tcPr>
            <w:tcW w:w="2216" w:type="dxa"/>
            <w:vAlign w:val="center"/>
          </w:tcPr>
          <w:p w14:paraId="72CE6957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4BAA952C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2D952F8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03C3F19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FA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04DC1B1C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20" w:type="dxa"/>
            <w:vMerge w:val="continue"/>
            <w:vAlign w:val="center"/>
          </w:tcPr>
          <w:p w14:paraId="5984E0C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11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57F708EB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4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4"/>
                <w:sz w:val="24"/>
                <w:szCs w:val="24"/>
              </w:rPr>
              <w:t>安全出口、应急出口数量不足</w:t>
            </w:r>
          </w:p>
        </w:tc>
        <w:tc>
          <w:tcPr>
            <w:tcW w:w="1772" w:type="dxa"/>
            <w:vAlign w:val="center"/>
          </w:tcPr>
          <w:p w14:paraId="0F1144F5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</w:tc>
        <w:tc>
          <w:tcPr>
            <w:tcW w:w="2216" w:type="dxa"/>
            <w:vAlign w:val="center"/>
          </w:tcPr>
          <w:p w14:paraId="56E0109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5F97CDC5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7B3C124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3F263AC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2E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882" w:type="dxa"/>
            <w:vAlign w:val="center"/>
          </w:tcPr>
          <w:p w14:paraId="7E47BF00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120" w:type="dxa"/>
            <w:vMerge w:val="continue"/>
            <w:vAlign w:val="center"/>
          </w:tcPr>
          <w:p w14:paraId="7E7749C7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11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22F87F77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4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4"/>
                <w:sz w:val="24"/>
                <w:szCs w:val="24"/>
              </w:rPr>
              <w:t>未按要求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5"/>
                <w:sz w:val="24"/>
                <w:szCs w:val="24"/>
              </w:rPr>
              <w:t>设置喷淋、报警、消火栓、火灾自动报警系统、防排烟系统</w:t>
            </w:r>
          </w:p>
        </w:tc>
        <w:tc>
          <w:tcPr>
            <w:tcW w:w="1772" w:type="dxa"/>
            <w:vAlign w:val="center"/>
          </w:tcPr>
          <w:p w14:paraId="271A6241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</w:tc>
        <w:tc>
          <w:tcPr>
            <w:tcW w:w="2216" w:type="dxa"/>
            <w:vAlign w:val="center"/>
          </w:tcPr>
          <w:p w14:paraId="281E19E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3098161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24E7DE2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1FAA8DC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40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882" w:type="dxa"/>
            <w:vAlign w:val="center"/>
          </w:tcPr>
          <w:p w14:paraId="79306670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120" w:type="dxa"/>
            <w:vMerge w:val="restart"/>
            <w:vAlign w:val="center"/>
          </w:tcPr>
          <w:p w14:paraId="6A79D28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4"/>
                <w:sz w:val="24"/>
                <w:szCs w:val="24"/>
              </w:rPr>
              <w:t>深化校园高层建筑消防安全隐患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4"/>
                <w:sz w:val="24"/>
                <w:szCs w:val="24"/>
                <w:lang w:val="en-US" w:eastAsia="zh-CN"/>
              </w:rPr>
              <w:t>排查</w:t>
            </w:r>
          </w:p>
        </w:tc>
        <w:tc>
          <w:tcPr>
            <w:tcW w:w="2312" w:type="dxa"/>
            <w:vAlign w:val="center"/>
          </w:tcPr>
          <w:p w14:paraId="7BF1FF85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"/>
                <w:sz w:val="24"/>
                <w:szCs w:val="24"/>
              </w:rPr>
              <w:t>多产权高层建筑，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6"/>
                <w:sz w:val="24"/>
                <w:szCs w:val="24"/>
              </w:rPr>
              <w:t>明确公共部位管理主体和各方管理范围及职责</w:t>
            </w:r>
          </w:p>
        </w:tc>
        <w:tc>
          <w:tcPr>
            <w:tcW w:w="1772" w:type="dxa"/>
            <w:vAlign w:val="center"/>
          </w:tcPr>
          <w:p w14:paraId="44FB2EC8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国有资产管理处</w:t>
            </w:r>
          </w:p>
        </w:tc>
        <w:tc>
          <w:tcPr>
            <w:tcW w:w="2216" w:type="dxa"/>
            <w:vAlign w:val="center"/>
          </w:tcPr>
          <w:p w14:paraId="321BB7F7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76EF975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34FEDDC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112EA215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F1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882" w:type="dxa"/>
            <w:vAlign w:val="center"/>
          </w:tcPr>
          <w:p w14:paraId="06001069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120" w:type="dxa"/>
            <w:vMerge w:val="continue"/>
            <w:vAlign w:val="center"/>
          </w:tcPr>
          <w:p w14:paraId="01173E4E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14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35F7FC1B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1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3"/>
                <w:sz w:val="24"/>
                <w:szCs w:val="24"/>
              </w:rPr>
              <w:t>高层公共建筑每半月自查1次，高层住宅建筑每月自查1次</w:t>
            </w:r>
          </w:p>
        </w:tc>
        <w:tc>
          <w:tcPr>
            <w:tcW w:w="1772" w:type="dxa"/>
            <w:vAlign w:val="center"/>
          </w:tcPr>
          <w:p w14:paraId="3D83E5C4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  <w:p w14:paraId="46F11093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63BA78F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4B470E49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63AB708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0B1487C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A1A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3C7EDC7E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120" w:type="dxa"/>
            <w:vMerge w:val="restart"/>
            <w:vAlign w:val="center"/>
          </w:tcPr>
          <w:p w14:paraId="42603B1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7"/>
                <w:sz w:val="24"/>
                <w:szCs w:val="24"/>
              </w:rPr>
              <w:t>深化“双疏散通道”兜底措施</w:t>
            </w:r>
          </w:p>
        </w:tc>
        <w:tc>
          <w:tcPr>
            <w:tcW w:w="2312" w:type="dxa"/>
            <w:vAlign w:val="center"/>
          </w:tcPr>
          <w:p w14:paraId="6C97AAEB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人员密集场所，严格落实“两个以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</w:rPr>
              <w:t>上独立疏散通道”要求</w:t>
            </w:r>
          </w:p>
        </w:tc>
        <w:tc>
          <w:tcPr>
            <w:tcW w:w="1772" w:type="dxa"/>
            <w:vAlign w:val="center"/>
          </w:tcPr>
          <w:p w14:paraId="2845D0CF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</w:tc>
        <w:tc>
          <w:tcPr>
            <w:tcW w:w="2216" w:type="dxa"/>
            <w:vAlign w:val="center"/>
          </w:tcPr>
          <w:p w14:paraId="05A35C2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2C115799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38BD67FD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311892BD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A3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882" w:type="dxa"/>
            <w:vAlign w:val="center"/>
          </w:tcPr>
          <w:p w14:paraId="64F48E6A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120" w:type="dxa"/>
            <w:vMerge w:val="continue"/>
            <w:vAlign w:val="center"/>
          </w:tcPr>
          <w:p w14:paraId="2EE22F1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7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5A7D7C2D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</w:rPr>
              <w:t>新建、改扩建校舍、校外培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6"/>
                <w:sz w:val="24"/>
                <w:szCs w:val="24"/>
              </w:rPr>
              <w:t>训机构严格落实消防设计审查、验收</w:t>
            </w:r>
          </w:p>
        </w:tc>
        <w:tc>
          <w:tcPr>
            <w:tcW w:w="1772" w:type="dxa"/>
            <w:vAlign w:val="center"/>
          </w:tcPr>
          <w:p w14:paraId="6AA715A9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校园建设处</w:t>
            </w:r>
          </w:p>
        </w:tc>
        <w:tc>
          <w:tcPr>
            <w:tcW w:w="2216" w:type="dxa"/>
            <w:vAlign w:val="center"/>
          </w:tcPr>
          <w:p w14:paraId="3C85EA8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479B1214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7165F21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39097D6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E3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48F31BE9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120" w:type="dxa"/>
            <w:vMerge w:val="continue"/>
            <w:vAlign w:val="center"/>
          </w:tcPr>
          <w:p w14:paraId="4051524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7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78FD979B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6"/>
                <w:sz w:val="24"/>
                <w:szCs w:val="24"/>
              </w:rPr>
              <w:t>户外宣传栏、广告牌不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8"/>
                <w:sz w:val="24"/>
                <w:szCs w:val="24"/>
              </w:rPr>
              <w:t>得遮挡窗户、封堵疏散出口</w:t>
            </w:r>
          </w:p>
        </w:tc>
        <w:tc>
          <w:tcPr>
            <w:tcW w:w="1772" w:type="dxa"/>
            <w:vAlign w:val="center"/>
          </w:tcPr>
          <w:p w14:paraId="407C5324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宣传部</w:t>
            </w:r>
          </w:p>
        </w:tc>
        <w:tc>
          <w:tcPr>
            <w:tcW w:w="2216" w:type="dxa"/>
            <w:vAlign w:val="center"/>
          </w:tcPr>
          <w:p w14:paraId="2279561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22986AB7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3D0D5CC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6719404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95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0F99DBEF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120" w:type="dxa"/>
            <w:vMerge w:val="continue"/>
            <w:vAlign w:val="center"/>
          </w:tcPr>
          <w:p w14:paraId="05E2865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7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681C0A04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8"/>
                <w:sz w:val="24"/>
                <w:szCs w:val="24"/>
              </w:rPr>
              <w:t>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9"/>
                <w:sz w:val="24"/>
                <w:szCs w:val="24"/>
              </w:rPr>
              <w:t>业态混合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4"/>
                <w:sz w:val="24"/>
                <w:szCs w:val="24"/>
              </w:rPr>
              <w:t>校舍(食堂+超市+培训)明确共用通道管理责任人，建立每日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8"/>
                <w:sz w:val="24"/>
                <w:szCs w:val="24"/>
              </w:rPr>
              <w:t>巡查清理制度。</w:t>
            </w:r>
          </w:p>
        </w:tc>
        <w:tc>
          <w:tcPr>
            <w:tcW w:w="1772" w:type="dxa"/>
            <w:vAlign w:val="center"/>
          </w:tcPr>
          <w:p w14:paraId="4E8B23AE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  <w:p w14:paraId="0EEC22AB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继续教育学院</w:t>
            </w:r>
          </w:p>
        </w:tc>
        <w:tc>
          <w:tcPr>
            <w:tcW w:w="2216" w:type="dxa"/>
            <w:vAlign w:val="center"/>
          </w:tcPr>
          <w:p w14:paraId="1F51CAD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7353746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7A2412B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474BF8A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228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003FEFF2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120" w:type="dxa"/>
            <w:vMerge w:val="restart"/>
            <w:vAlign w:val="center"/>
          </w:tcPr>
          <w:p w14:paraId="5C9CBD0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7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1"/>
                <w:sz w:val="24"/>
                <w:szCs w:val="24"/>
              </w:rPr>
              <w:t>深化电动自行车“进楼入户”严管严控</w:t>
            </w:r>
          </w:p>
        </w:tc>
        <w:tc>
          <w:tcPr>
            <w:tcW w:w="2312" w:type="dxa"/>
            <w:vAlign w:val="center"/>
          </w:tcPr>
          <w:p w14:paraId="2F7F808E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8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</w:rPr>
              <w:t>学校统一登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2"/>
                <w:sz w:val="24"/>
                <w:szCs w:val="24"/>
              </w:rPr>
              <w:t>记教职工、学生电动自行车</w:t>
            </w:r>
          </w:p>
        </w:tc>
        <w:tc>
          <w:tcPr>
            <w:tcW w:w="1772" w:type="dxa"/>
            <w:vAlign w:val="center"/>
          </w:tcPr>
          <w:p w14:paraId="067668C6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</w:tc>
        <w:tc>
          <w:tcPr>
            <w:tcW w:w="2216" w:type="dxa"/>
            <w:vAlign w:val="center"/>
          </w:tcPr>
          <w:p w14:paraId="21E6FDB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5CE23B4A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51AAD19D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64DF5A0C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392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1C872B7C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120" w:type="dxa"/>
            <w:vMerge w:val="continue"/>
            <w:vAlign w:val="center"/>
          </w:tcPr>
          <w:p w14:paraId="0619E9F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1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7A9DBC59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2"/>
                <w:sz w:val="24"/>
                <w:szCs w:val="24"/>
              </w:rPr>
              <w:t>每日巡查楼道、门厅，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1"/>
                <w:sz w:val="24"/>
                <w:szCs w:val="24"/>
              </w:rPr>
              <w:t>发现室内停放充电立即清离</w:t>
            </w:r>
          </w:p>
        </w:tc>
        <w:tc>
          <w:tcPr>
            <w:tcW w:w="1772" w:type="dxa"/>
            <w:vAlign w:val="center"/>
          </w:tcPr>
          <w:p w14:paraId="214F50BF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54BAD36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3A2D2B8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245CBFD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29F51C3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47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609BE916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120" w:type="dxa"/>
            <w:vMerge w:val="continue"/>
            <w:vAlign w:val="center"/>
          </w:tcPr>
          <w:p w14:paraId="1477422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1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26AB3246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2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</w:rPr>
              <w:t>按要求规范设置室外充电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9"/>
                <w:sz w:val="24"/>
                <w:szCs w:val="24"/>
              </w:rPr>
              <w:t>设施</w:t>
            </w:r>
          </w:p>
        </w:tc>
        <w:tc>
          <w:tcPr>
            <w:tcW w:w="1772" w:type="dxa"/>
            <w:vAlign w:val="center"/>
          </w:tcPr>
          <w:p w14:paraId="3EC4174C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24E8C1D4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215BDA17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4BB8888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56DC5523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FD3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0776B032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120" w:type="dxa"/>
            <w:vMerge w:val="restart"/>
            <w:vAlign w:val="center"/>
          </w:tcPr>
          <w:p w14:paraId="0F5838F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6"/>
                <w:sz w:val="24"/>
                <w:szCs w:val="24"/>
              </w:rPr>
              <w:t>推进建筑保温材料整治</w:t>
            </w:r>
          </w:p>
        </w:tc>
        <w:tc>
          <w:tcPr>
            <w:tcW w:w="2312" w:type="dxa"/>
            <w:vAlign w:val="center"/>
          </w:tcPr>
          <w:p w14:paraId="6BB3E6AE">
            <w:pPr>
              <w:widowControl w:val="0"/>
              <w:spacing w:before="143" w:line="219" w:lineRule="auto"/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  <w:lang w:val="en-US" w:eastAsia="zh-CN"/>
              </w:rPr>
              <w:t>排查建筑外墙保温材料使用情况</w:t>
            </w:r>
          </w:p>
        </w:tc>
        <w:tc>
          <w:tcPr>
            <w:tcW w:w="1772" w:type="dxa"/>
            <w:vAlign w:val="center"/>
          </w:tcPr>
          <w:p w14:paraId="0DE2256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  <w:p w14:paraId="13AAE485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校园建设处</w:t>
            </w:r>
          </w:p>
        </w:tc>
        <w:tc>
          <w:tcPr>
            <w:tcW w:w="2216" w:type="dxa"/>
            <w:vAlign w:val="center"/>
          </w:tcPr>
          <w:p w14:paraId="5249E53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01D56E51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0EAA8080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6106D9D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EC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82" w:type="dxa"/>
            <w:vAlign w:val="center"/>
          </w:tcPr>
          <w:p w14:paraId="59B3CF14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120" w:type="dxa"/>
            <w:vMerge w:val="continue"/>
            <w:vAlign w:val="center"/>
          </w:tcPr>
          <w:p w14:paraId="4250A83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31C7EB64">
            <w:pPr>
              <w:widowControl w:val="0"/>
              <w:spacing w:before="143" w:line="219" w:lineRule="auto"/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  <w:lang w:val="en-US" w:eastAsia="zh-CN"/>
              </w:rPr>
              <w:t>外墙保温材料的改造</w:t>
            </w:r>
          </w:p>
        </w:tc>
        <w:tc>
          <w:tcPr>
            <w:tcW w:w="1772" w:type="dxa"/>
            <w:vAlign w:val="center"/>
          </w:tcPr>
          <w:p w14:paraId="30FB3325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2900AB69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1F26DA5E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0DFB402D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1E00457F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35F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vAlign w:val="center"/>
          </w:tcPr>
          <w:p w14:paraId="50E3D67B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120" w:type="dxa"/>
            <w:vAlign w:val="center"/>
          </w:tcPr>
          <w:p w14:paraId="371A415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2"/>
                <w:sz w:val="24"/>
                <w:szCs w:val="24"/>
              </w:rPr>
              <w:t>推进人员密集场所动火作业管理</w:t>
            </w:r>
          </w:p>
        </w:tc>
        <w:tc>
          <w:tcPr>
            <w:tcW w:w="2312" w:type="dxa"/>
            <w:vAlign w:val="center"/>
          </w:tcPr>
          <w:p w14:paraId="64CF6AD7">
            <w:pPr>
              <w:widowControl w:val="0"/>
              <w:spacing w:before="143" w:line="219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5"/>
                <w:sz w:val="24"/>
                <w:szCs w:val="24"/>
              </w:rPr>
              <w:t>实现校园动火全流程线上报备、现场核查、闭环治理</w:t>
            </w:r>
          </w:p>
        </w:tc>
        <w:tc>
          <w:tcPr>
            <w:tcW w:w="1772" w:type="dxa"/>
            <w:vAlign w:val="center"/>
          </w:tcPr>
          <w:p w14:paraId="78843905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保卫处</w:t>
            </w:r>
          </w:p>
          <w:p w14:paraId="6BEED4B4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校园建设处</w:t>
            </w:r>
          </w:p>
          <w:p w14:paraId="0F962592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公共事务处</w:t>
            </w:r>
          </w:p>
        </w:tc>
        <w:tc>
          <w:tcPr>
            <w:tcW w:w="2216" w:type="dxa"/>
            <w:vAlign w:val="center"/>
          </w:tcPr>
          <w:p w14:paraId="4D7DBFC2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7263394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55148D58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6DF192BC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D4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882" w:type="dxa"/>
            <w:vAlign w:val="center"/>
          </w:tcPr>
          <w:p w14:paraId="470E3A0C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120" w:type="dxa"/>
            <w:vAlign w:val="center"/>
          </w:tcPr>
          <w:p w14:paraId="70473F8E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6"/>
                <w:sz w:val="24"/>
                <w:szCs w:val="24"/>
                <w:lang w:val="en-US" w:eastAsia="zh-CN"/>
              </w:rPr>
              <w:t>推进实验室安全专项治理</w:t>
            </w:r>
          </w:p>
        </w:tc>
        <w:tc>
          <w:tcPr>
            <w:tcW w:w="2312" w:type="dxa"/>
            <w:vAlign w:val="center"/>
          </w:tcPr>
          <w:p w14:paraId="31EA6990">
            <w:pPr>
              <w:widowControl w:val="0"/>
              <w:spacing w:before="143" w:line="219" w:lineRule="auto"/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spacing w:val="-15"/>
                <w:sz w:val="24"/>
                <w:szCs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16"/>
                <w:sz w:val="24"/>
                <w:szCs w:val="24"/>
                <w:lang w:val="en-US" w:eastAsia="zh-CN"/>
              </w:rPr>
              <w:t>围绕实验室日常管理、危化品采购、存储、使用环节，排查安全隐患</w:t>
            </w:r>
          </w:p>
        </w:tc>
        <w:tc>
          <w:tcPr>
            <w:tcW w:w="1772" w:type="dxa"/>
            <w:vAlign w:val="center"/>
          </w:tcPr>
          <w:p w14:paraId="4147DF0C">
            <w:pPr>
              <w:widowControl w:val="0"/>
              <w:spacing w:before="143" w:line="219" w:lineRule="auto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  <w:t>实验室管理处</w:t>
            </w:r>
          </w:p>
        </w:tc>
        <w:tc>
          <w:tcPr>
            <w:tcW w:w="2216" w:type="dxa"/>
            <w:vAlign w:val="center"/>
          </w:tcPr>
          <w:p w14:paraId="131929B4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7BB127BE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1FBB7CD6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 w14:paraId="37251F4B">
            <w:pPr>
              <w:widowControl w:val="0"/>
              <w:spacing w:before="14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-7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B13E280">
      <w:pPr>
        <w:spacing w:before="143" w:line="219" w:lineRule="auto"/>
        <w:jc w:val="both"/>
        <w:rPr>
          <w:rFonts w:hint="default" w:ascii="宋体" w:hAnsi="宋体" w:eastAsia="宋体" w:cs="宋体"/>
          <w:b/>
          <w:bCs/>
          <w:color w:val="auto"/>
          <w:spacing w:val="-7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E980F0-ACAB-4A2C-82EF-B2E7E9B39B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3728728-0F8D-4AE7-8DA2-1F38358934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F7820">
    <w:pPr>
      <w:spacing w:line="231" w:lineRule="auto"/>
      <w:ind w:left="7989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D30217"/>
    <w:multiLevelType w:val="singleLevel"/>
    <w:tmpl w:val="F9D30217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60603"/>
    <w:rsid w:val="047E5D41"/>
    <w:rsid w:val="09170399"/>
    <w:rsid w:val="0B41524D"/>
    <w:rsid w:val="1559294C"/>
    <w:rsid w:val="159468C1"/>
    <w:rsid w:val="24744857"/>
    <w:rsid w:val="28F3730E"/>
    <w:rsid w:val="3D766DBD"/>
    <w:rsid w:val="47DD5650"/>
    <w:rsid w:val="4AD50924"/>
    <w:rsid w:val="4C653BF0"/>
    <w:rsid w:val="4F2C4E99"/>
    <w:rsid w:val="51A742B0"/>
    <w:rsid w:val="61BD0199"/>
    <w:rsid w:val="62A260AB"/>
    <w:rsid w:val="65360603"/>
    <w:rsid w:val="6B924226"/>
    <w:rsid w:val="74A50650"/>
    <w:rsid w:val="7FEC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3435</Words>
  <Characters>3459</Characters>
  <Lines>0</Lines>
  <Paragraphs>0</Paragraphs>
  <TotalTime>56</TotalTime>
  <ScaleCrop>false</ScaleCrop>
  <LinksUpToDate>false</LinksUpToDate>
  <CharactersWithSpaces>3472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2026-08-03T01:28:00Z</dcterms:created>
  <dc:creator>客家人</dc:creator>
  <cp:lastModifiedBy>赵劲</cp:lastModifiedBy>
  <dcterms:modified xsi:type="dcterms:W3CDTF">2026-08-04T03:42:45Z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93A4792E9EDD4A66989623E7C7CAFCD5_11</vt:lpwstr>
  </property>
  <property fmtid="{D5CDD505-2E9C-101B-9397-08002B2CF9AE}" pid="4" name="KSOTemplateDocerSaveRecord">
    <vt:lpwstr>eyJoZGlkIjoiMzEwNTM5NzYwMDRjMzkwZTVkZjY2ODkwMGIxNGU0OTUiLCJ1c2VySWQiOiIxNzE3MzI4MjI2In0=</vt:lpwstr>
  </property>
</Properties>
</file>